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3" w:rsidRPr="005D6E49" w:rsidRDefault="008036F3" w:rsidP="008036F3">
      <w:pPr>
        <w:pStyle w:val="a3"/>
        <w:shd w:val="clear" w:color="auto" w:fill="FFFFFF"/>
      </w:pPr>
      <w:r w:rsidRPr="005D6E49">
        <w:rPr>
          <w:color w:val="000000"/>
        </w:rPr>
        <w:t>1.1.</w:t>
      </w:r>
      <w:r w:rsidRPr="005D6E49">
        <w:rPr>
          <w:b/>
          <w:bCs/>
          <w:color w:val="000000"/>
        </w:rPr>
        <w:t>В пункте 2.25. статьи 2 Правил «Основные термины и понятия» изложить в следующей редакции: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proofErr w:type="gramStart"/>
      <w:r w:rsidRPr="005D6E49">
        <w:rPr>
          <w:color w:val="000000"/>
        </w:rPr>
        <w:t>2.25.Прилегающая территория - территория шириной не менее 5 и не более 15 метров, включая обочины, кюветы, канавы, водоотводные каналы</w:t>
      </w:r>
      <w:r w:rsidRPr="005D6E49">
        <w:rPr>
          <w:b/>
          <w:bCs/>
          <w:i/>
          <w:iCs/>
          <w:color w:val="000000"/>
        </w:rPr>
        <w:t>,</w:t>
      </w:r>
      <w:r w:rsidRPr="005D6E49">
        <w:rPr>
          <w:color w:val="000000"/>
        </w:rPr>
        <w:t xml:space="preserve">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  <w:proofErr w:type="gramEnd"/>
      <w:r w:rsidRPr="005D6E49">
        <w:rPr>
          <w:color w:val="000000"/>
        </w:rPr>
        <w:t xml:space="preserve"> Границу прилегающей территории следует определять: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r w:rsidRPr="005D6E49">
        <w:rPr>
          <w:color w:val="000000"/>
        </w:rPr>
        <w:t>- на улицах с двухсторонней застройкой - по длине занимаемого участка, по ширине – до оси проезжей части улицы;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bookmarkStart w:id="0" w:name="_GoBack1"/>
      <w:bookmarkEnd w:id="0"/>
      <w:r w:rsidRPr="005D6E49">
        <w:rPr>
          <w:color w:val="000000"/>
        </w:rPr>
        <w:t>- на улицах с односторонней застройкой - по длине занимаемого участка, по ширине – на всю ширину улицы, включая противоположный тротуар и 5 метров за тротуаром;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r w:rsidRPr="005D6E49">
        <w:rPr>
          <w:color w:val="000000"/>
        </w:rPr>
        <w:t>- на строительных площадках – территория не менее 15 метров от ограждения стройки по всему периметру;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color w:val="000000"/>
        </w:rPr>
        <w:t>для объектов торговли, общественного питания, бытового обслуживания населения – в радиусе не менее 10 метров.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>для отдельно стоящих нестационарных объектов мелкорозничной торговли, бытового обслуживания и услуг (киосков, торговых остановочных комплексов, павильонов), расположенных на жилых территориях, на территории общего пользования, а также на производственных территориях-не менее 10 метров от фасада по всему периметру сооружения;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на </w:t>
      </w:r>
      <w:proofErr w:type="spellStart"/>
      <w:r w:rsidRPr="005D6E49">
        <w:rPr>
          <w:b/>
          <w:bCs/>
          <w:color w:val="000000"/>
        </w:rPr>
        <w:t>посадачных</w:t>
      </w:r>
      <w:proofErr w:type="spellEnd"/>
      <w:r w:rsidRPr="005D6E49">
        <w:rPr>
          <w:b/>
          <w:bCs/>
          <w:color w:val="000000"/>
        </w:rPr>
        <w:t xml:space="preserve"> площадках общественного транспорта-15метров от фасада по всему периметру сооружения, а также 0,5метра от лотка дороги;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для многоквартирных жилых домов (за исключением нежилых помещений) в пределах границ сформированной придомовой территории. 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для </w:t>
      </w:r>
      <w:proofErr w:type="gramStart"/>
      <w:r w:rsidRPr="005D6E49">
        <w:rPr>
          <w:b/>
          <w:bCs/>
          <w:color w:val="000000"/>
        </w:rPr>
        <w:t>промышленных</w:t>
      </w:r>
      <w:proofErr w:type="gramEnd"/>
      <w:r w:rsidRPr="005D6E49">
        <w:rPr>
          <w:b/>
          <w:bCs/>
          <w:color w:val="000000"/>
        </w:rPr>
        <w:t xml:space="preserve"> объектов-50метров по всему периметру отведенной территории;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для автозаправочных станций, </w:t>
      </w:r>
      <w:proofErr w:type="spellStart"/>
      <w:r w:rsidRPr="005D6E49">
        <w:rPr>
          <w:b/>
          <w:bCs/>
          <w:color w:val="000000"/>
        </w:rPr>
        <w:t>автогазозаправочных</w:t>
      </w:r>
      <w:proofErr w:type="spellEnd"/>
      <w:r w:rsidRPr="005D6E49">
        <w:rPr>
          <w:b/>
          <w:bCs/>
          <w:color w:val="000000"/>
        </w:rPr>
        <w:t xml:space="preserve"> </w:t>
      </w:r>
      <w:proofErr w:type="spellStart"/>
      <w:r w:rsidRPr="005D6E49">
        <w:rPr>
          <w:b/>
          <w:bCs/>
          <w:color w:val="000000"/>
        </w:rPr>
        <w:t>станций</w:t>
      </w:r>
      <w:proofErr w:type="gramStart"/>
      <w:r w:rsidRPr="005D6E49">
        <w:rPr>
          <w:b/>
          <w:bCs/>
          <w:color w:val="000000"/>
        </w:rPr>
        <w:t>,а</w:t>
      </w:r>
      <w:proofErr w:type="gramEnd"/>
      <w:r w:rsidRPr="005D6E49">
        <w:rPr>
          <w:b/>
          <w:bCs/>
          <w:color w:val="000000"/>
        </w:rPr>
        <w:t>втомоечных</w:t>
      </w:r>
      <w:proofErr w:type="spellEnd"/>
      <w:r w:rsidRPr="005D6E49">
        <w:rPr>
          <w:b/>
          <w:bCs/>
          <w:color w:val="000000"/>
        </w:rPr>
        <w:t xml:space="preserve"> постов, заправочных комплексов, шиномонтажных мастерских и станций технического обслуживания — пределах санитарно-защитной зоны, но не менее 15 метров по периметру отведенной территории и подъезды к объектам;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для гаражей, гаражно-строительных кооперативов, гаражных кооперативов, автостоянок, парковок, </w:t>
      </w:r>
      <w:proofErr w:type="spellStart"/>
      <w:r w:rsidRPr="005D6E49">
        <w:rPr>
          <w:b/>
          <w:bCs/>
          <w:color w:val="000000"/>
        </w:rPr>
        <w:t>садаводческих</w:t>
      </w:r>
      <w:proofErr w:type="spellEnd"/>
      <w:r w:rsidRPr="005D6E49">
        <w:rPr>
          <w:b/>
          <w:bCs/>
          <w:color w:val="000000"/>
        </w:rPr>
        <w:t xml:space="preserve"> объединений-10метров по периметру отведенной территории;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>для отдельно стоящих объектов реклам</w:t>
      </w:r>
      <w:proofErr w:type="gramStart"/>
      <w:r w:rsidRPr="005D6E49">
        <w:rPr>
          <w:b/>
          <w:bCs/>
          <w:color w:val="000000"/>
        </w:rPr>
        <w:t>ы-</w:t>
      </w:r>
      <w:proofErr w:type="gramEnd"/>
      <w:r w:rsidRPr="005D6E49">
        <w:rPr>
          <w:b/>
          <w:bCs/>
          <w:color w:val="000000"/>
        </w:rPr>
        <w:t xml:space="preserve"> в радиусе 5 метров от основания объекта;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>для железнодорожных путей, проходящих по территории муниципального образовани</w:t>
      </w:r>
      <w:proofErr w:type="gramStart"/>
      <w:r w:rsidRPr="005D6E49">
        <w:rPr>
          <w:b/>
          <w:bCs/>
          <w:color w:val="000000"/>
        </w:rPr>
        <w:t>я-</w:t>
      </w:r>
      <w:proofErr w:type="gramEnd"/>
      <w:r w:rsidRPr="005D6E49">
        <w:rPr>
          <w:b/>
          <w:bCs/>
          <w:color w:val="000000"/>
        </w:rPr>
        <w:t xml:space="preserve"> в пределах полосы отвода, включая откосы выемок и насыпей, переезды, переходы через пути;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 xml:space="preserve">для территории, отведенных для размещения и эксплуатации линии электропередачи, </w:t>
      </w:r>
      <w:proofErr w:type="spellStart"/>
      <w:r w:rsidRPr="005D6E49">
        <w:rPr>
          <w:b/>
          <w:bCs/>
          <w:color w:val="000000"/>
        </w:rPr>
        <w:t>газовых</w:t>
      </w:r>
      <w:proofErr w:type="gramStart"/>
      <w:r w:rsidRPr="005D6E49">
        <w:rPr>
          <w:b/>
          <w:bCs/>
          <w:color w:val="000000"/>
        </w:rPr>
        <w:t>,в</w:t>
      </w:r>
      <w:proofErr w:type="gramEnd"/>
      <w:r w:rsidRPr="005D6E49">
        <w:rPr>
          <w:b/>
          <w:bCs/>
          <w:color w:val="000000"/>
        </w:rPr>
        <w:t>одопроводных</w:t>
      </w:r>
      <w:proofErr w:type="spellEnd"/>
      <w:r w:rsidRPr="005D6E49">
        <w:rPr>
          <w:b/>
          <w:bCs/>
          <w:color w:val="000000"/>
        </w:rPr>
        <w:t xml:space="preserve"> и тепловых сетей,- в пределах охранной зоны;</w:t>
      </w:r>
    </w:p>
    <w:p w:rsidR="008036F3" w:rsidRPr="005D6E49" w:rsidRDefault="008036F3" w:rsidP="008036F3">
      <w:pPr>
        <w:pStyle w:val="a3"/>
        <w:numPr>
          <w:ilvl w:val="0"/>
          <w:numId w:val="1"/>
        </w:numPr>
        <w:spacing w:line="102" w:lineRule="atLeast"/>
      </w:pPr>
      <w:r w:rsidRPr="005D6E49">
        <w:rPr>
          <w:b/>
          <w:bCs/>
          <w:color w:val="000000"/>
        </w:rPr>
        <w:t>для площадок, предназначенных для размещения мусорных контейнеров-20 метров по периметру.</w:t>
      </w:r>
    </w:p>
    <w:p w:rsidR="008036F3" w:rsidRPr="005D6E49" w:rsidRDefault="008036F3" w:rsidP="008036F3">
      <w:pPr>
        <w:pStyle w:val="a3"/>
        <w:spacing w:line="102" w:lineRule="atLeast"/>
        <w:ind w:left="363"/>
      </w:pPr>
    </w:p>
    <w:p w:rsidR="008036F3" w:rsidRPr="005D6E49" w:rsidRDefault="008036F3" w:rsidP="008036F3">
      <w:pPr>
        <w:pStyle w:val="a3"/>
        <w:spacing w:line="102" w:lineRule="atLeast"/>
        <w:ind w:firstLine="709"/>
      </w:pPr>
      <w:r w:rsidRPr="005D6E49">
        <w:rPr>
          <w:color w:val="000000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8036F3" w:rsidRPr="005D6E49" w:rsidRDefault="008036F3" w:rsidP="008036F3">
      <w:pPr>
        <w:pStyle w:val="a3"/>
        <w:shd w:val="clear" w:color="auto" w:fill="FFFFFF"/>
        <w:ind w:firstLine="709"/>
      </w:pPr>
      <w:r w:rsidRPr="005D6E49">
        <w:rPr>
          <w:color w:val="000000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8036F3" w:rsidRPr="005D6E49" w:rsidRDefault="008036F3" w:rsidP="008036F3">
      <w:pPr>
        <w:pStyle w:val="a3"/>
        <w:spacing w:line="102" w:lineRule="atLeast"/>
      </w:pPr>
      <w:r w:rsidRPr="005D6E49">
        <w:rPr>
          <w:color w:val="000000"/>
        </w:rPr>
        <w:t>1.2.</w:t>
      </w:r>
      <w:r w:rsidRPr="005D6E49">
        <w:rPr>
          <w:b/>
          <w:bCs/>
          <w:color w:val="000000"/>
        </w:rPr>
        <w:t>Статью 7 Правил «Содержание фасадов зданий, сооружений, ограждений» дополнить пунктом 7.11. ,7.12 следующего содержания:</w:t>
      </w:r>
    </w:p>
    <w:p w:rsidR="008036F3" w:rsidRPr="005D6E49" w:rsidRDefault="008036F3" w:rsidP="008036F3">
      <w:pPr>
        <w:pStyle w:val="a3"/>
        <w:spacing w:line="102" w:lineRule="atLeast"/>
      </w:pPr>
      <w:r w:rsidRPr="005D6E49">
        <w:rPr>
          <w:color w:val="000000"/>
        </w:rPr>
        <w:t>«7.11.</w:t>
      </w:r>
      <w:r w:rsidRPr="005D6E49">
        <w:rPr>
          <w:b/>
          <w:bCs/>
          <w:color w:val="000000"/>
        </w:rPr>
        <w:t>Для создания единого архитектурного облика населенного пункта, кровельное покрытие при строительстве объектов капитального строительства на вновь сформированных земельных участках и в центральных частях населенного пункта (</w:t>
      </w:r>
      <w:proofErr w:type="spellStart"/>
      <w:r w:rsidRPr="005D6E49">
        <w:rPr>
          <w:b/>
          <w:bCs/>
          <w:color w:val="000000"/>
        </w:rPr>
        <w:t>ул</w:t>
      </w:r>
      <w:proofErr w:type="gramStart"/>
      <w:r w:rsidRPr="005D6E49">
        <w:rPr>
          <w:b/>
          <w:bCs/>
          <w:color w:val="000000"/>
        </w:rPr>
        <w:t>.Л</w:t>
      </w:r>
      <w:proofErr w:type="gramEnd"/>
      <w:r w:rsidRPr="005D6E49">
        <w:rPr>
          <w:b/>
          <w:bCs/>
          <w:color w:val="000000"/>
        </w:rPr>
        <w:t>енина</w:t>
      </w:r>
      <w:proofErr w:type="spellEnd"/>
      <w:r w:rsidRPr="005D6E49">
        <w:rPr>
          <w:b/>
          <w:bCs/>
          <w:color w:val="000000"/>
        </w:rPr>
        <w:t xml:space="preserve"> от </w:t>
      </w:r>
      <w:proofErr w:type="spellStart"/>
      <w:r w:rsidRPr="005D6E49">
        <w:rPr>
          <w:b/>
          <w:bCs/>
          <w:color w:val="000000"/>
        </w:rPr>
        <w:t>ул.Больничной</w:t>
      </w:r>
      <w:proofErr w:type="spellEnd"/>
      <w:r w:rsidRPr="005D6E49">
        <w:rPr>
          <w:b/>
          <w:bCs/>
          <w:color w:val="000000"/>
        </w:rPr>
        <w:t xml:space="preserve"> до </w:t>
      </w:r>
      <w:proofErr w:type="spellStart"/>
      <w:r w:rsidRPr="005D6E49">
        <w:rPr>
          <w:b/>
          <w:bCs/>
          <w:color w:val="000000"/>
        </w:rPr>
        <w:t>ул.Привокзальной</w:t>
      </w:r>
      <w:proofErr w:type="spellEnd"/>
      <w:r w:rsidRPr="005D6E49">
        <w:rPr>
          <w:b/>
          <w:bCs/>
          <w:color w:val="000000"/>
        </w:rPr>
        <w:t xml:space="preserve"> и </w:t>
      </w:r>
      <w:proofErr w:type="spellStart"/>
      <w:r w:rsidRPr="005D6E49">
        <w:rPr>
          <w:b/>
          <w:bCs/>
          <w:color w:val="000000"/>
        </w:rPr>
        <w:t>ул.Клубная</w:t>
      </w:r>
      <w:proofErr w:type="spellEnd"/>
      <w:r w:rsidRPr="005D6E49">
        <w:rPr>
          <w:b/>
          <w:bCs/>
          <w:color w:val="000000"/>
        </w:rPr>
        <w:t xml:space="preserve"> от </w:t>
      </w:r>
      <w:proofErr w:type="spellStart"/>
      <w:r w:rsidRPr="005D6E49">
        <w:rPr>
          <w:b/>
          <w:bCs/>
          <w:color w:val="000000"/>
        </w:rPr>
        <w:t>ул.Гагарина</w:t>
      </w:r>
      <w:proofErr w:type="spellEnd"/>
      <w:r w:rsidRPr="005D6E49">
        <w:rPr>
          <w:b/>
          <w:bCs/>
          <w:color w:val="000000"/>
        </w:rPr>
        <w:t xml:space="preserve"> до </w:t>
      </w:r>
      <w:proofErr w:type="spellStart"/>
      <w:r w:rsidRPr="005D6E49">
        <w:rPr>
          <w:b/>
          <w:bCs/>
          <w:color w:val="000000"/>
        </w:rPr>
        <w:t>ул.Ленина</w:t>
      </w:r>
      <w:proofErr w:type="spellEnd"/>
      <w:r w:rsidRPr="005D6E49">
        <w:rPr>
          <w:b/>
          <w:bCs/>
          <w:color w:val="000000"/>
        </w:rPr>
        <w:t xml:space="preserve">) должна иметь красно-коричневые оттенки, фасады и ограждения зданий от бежевого до коричневого оттенка. </w:t>
      </w:r>
    </w:p>
    <w:p w:rsidR="008036F3" w:rsidRPr="005D6E49" w:rsidRDefault="008036F3" w:rsidP="008036F3">
      <w:pPr>
        <w:pStyle w:val="a3"/>
      </w:pPr>
      <w:r w:rsidRPr="005D6E49">
        <w:rPr>
          <w:b/>
          <w:bCs/>
        </w:rPr>
        <w:t>7.12. При строительстве капитальных объектов по красной линии на главном фасаде здания запрещается:</w:t>
      </w:r>
    </w:p>
    <w:p w:rsidR="008036F3" w:rsidRPr="005D6E49" w:rsidRDefault="008036F3" w:rsidP="008036F3">
      <w:pPr>
        <w:pStyle w:val="a3"/>
      </w:pPr>
      <w:proofErr w:type="gramStart"/>
      <w:r w:rsidRPr="005D6E49">
        <w:rPr>
          <w:b/>
          <w:bCs/>
          <w:color w:val="000000"/>
        </w:rPr>
        <w:t>- размещение наружных блоков систем кондиционирования и вентиляции на поверхности лицевых фасадов, над пешеходными тротуарами; в оконных и дверных проемах с выступанием за плоскость фасада без использования маскирующих ограждений;</w:t>
      </w:r>
      <w:proofErr w:type="gramEnd"/>
    </w:p>
    <w:p w:rsidR="008036F3" w:rsidRPr="005D6E49" w:rsidRDefault="008036F3" w:rsidP="008036F3">
      <w:pPr>
        <w:pStyle w:val="a3"/>
        <w:spacing w:line="102" w:lineRule="atLeast"/>
      </w:pPr>
      <w:proofErr w:type="gramStart"/>
      <w:r w:rsidRPr="005D6E49">
        <w:rPr>
          <w:b/>
          <w:bCs/>
          <w:color w:val="000000"/>
        </w:rPr>
        <w:t>- размещение антенн на лицевых фасадах; на фасадах, представляющих историко-культурную ценность; на фасадах современных зданий, построенных по индивидуальному проекту и занимающих значительное место в архитектурном ансамбле; на кровле зданий с выразительным силуэтом; на силуэтных завершениях зданий и сооружений (башнях, куполах), на парапетах, ограждениях кровли, балконов, лоджий, вентиляционных трубах; на угловых частях фасадов;</w:t>
      </w:r>
      <w:proofErr w:type="gramEnd"/>
    </w:p>
    <w:p w:rsidR="008036F3" w:rsidRPr="005D6E49" w:rsidRDefault="008036F3" w:rsidP="008036F3">
      <w:pPr>
        <w:pStyle w:val="a3"/>
        <w:spacing w:line="102" w:lineRule="atLeast"/>
      </w:pPr>
    </w:p>
    <w:p w:rsidR="005B66AB" w:rsidRPr="005D6E49" w:rsidRDefault="005B66AB">
      <w:pPr>
        <w:rPr>
          <w:sz w:val="24"/>
          <w:szCs w:val="24"/>
        </w:rPr>
      </w:pPr>
      <w:bookmarkStart w:id="1" w:name="_GoBack"/>
      <w:bookmarkEnd w:id="1"/>
    </w:p>
    <w:sectPr w:rsidR="005B66AB" w:rsidRPr="005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DB9"/>
    <w:multiLevelType w:val="multilevel"/>
    <w:tmpl w:val="CA6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0"/>
    <w:rsid w:val="005B66AB"/>
    <w:rsid w:val="005D6E49"/>
    <w:rsid w:val="00724700"/>
    <w:rsid w:val="008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2019-01-31T05:58:00Z</cp:lastPrinted>
  <dcterms:created xsi:type="dcterms:W3CDTF">2019-01-31T05:45:00Z</dcterms:created>
  <dcterms:modified xsi:type="dcterms:W3CDTF">2019-01-31T06:02:00Z</dcterms:modified>
</cp:coreProperties>
</file>